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Rapportskjema   for  Rotary prosjekt</w:t>
            </w:r>
            <w:r w:rsidR="001A0123">
              <w:rPr>
                <w:sz w:val="28"/>
                <w:szCs w:val="28"/>
              </w:rPr>
              <w:tab/>
            </w:r>
            <w:r w:rsidR="001A0123">
              <w:rPr>
                <w:sz w:val="28"/>
                <w:szCs w:val="28"/>
              </w:rPr>
              <w:tab/>
            </w:r>
            <w:r w:rsidR="001A0123">
              <w:rPr>
                <w:sz w:val="28"/>
                <w:szCs w:val="28"/>
              </w:rPr>
              <w:tab/>
            </w:r>
            <w:r w:rsidR="001A0123">
              <w:rPr>
                <w:sz w:val="28"/>
                <w:szCs w:val="28"/>
              </w:rPr>
              <w:tab/>
            </w:r>
            <w:r w:rsidR="001A0123">
              <w:rPr>
                <w:sz w:val="28"/>
                <w:szCs w:val="28"/>
              </w:rPr>
              <w:tab/>
            </w:r>
            <w:r w:rsidR="001A0123">
              <w:rPr>
                <w:sz w:val="28"/>
                <w:szCs w:val="28"/>
              </w:rPr>
              <w:tab/>
            </w:r>
            <w:r w:rsidR="001A0123">
              <w:rPr>
                <w:sz w:val="28"/>
                <w:szCs w:val="28"/>
              </w:rPr>
              <w:tab/>
            </w:r>
            <w:r w:rsidR="001A0123"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240F95">
            <w:pPr>
              <w:rPr>
                <w:b/>
              </w:rPr>
            </w:pPr>
            <w:r w:rsidRPr="008E668E">
              <w:rPr>
                <w:b/>
              </w:rPr>
              <w:t>Distr. Pr. nr.</w:t>
            </w:r>
            <w:r w:rsidR="00240F95">
              <w:t xml:space="preserve">  </w:t>
            </w:r>
            <w:r w:rsidR="00612AA1">
              <w:t>12905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r w:rsidRPr="00851ED2">
              <w:rPr>
                <w:b/>
              </w:rPr>
              <w:t>Prosjekttitel</w:t>
            </w:r>
          </w:p>
        </w:tc>
        <w:tc>
          <w:tcPr>
            <w:tcW w:w="8222" w:type="dxa"/>
            <w:gridSpan w:val="16"/>
          </w:tcPr>
          <w:p w:rsidR="00F47316" w:rsidRDefault="00240F95" w:rsidP="00AD5725">
            <w:proofErr w:type="spellStart"/>
            <w:r w:rsidRPr="00240F95">
              <w:t>Julebod</w:t>
            </w:r>
            <w:r w:rsidR="00AD5725">
              <w:t>en</w:t>
            </w:r>
            <w:proofErr w:type="spellEnd"/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302F4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302F42">
            <w:r>
              <w:t>12900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302F42">
            <w:r>
              <w:t>Sandvika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Igang</w:t>
            </w:r>
          </w:p>
        </w:tc>
        <w:tc>
          <w:tcPr>
            <w:tcW w:w="850" w:type="dxa"/>
            <w:gridSpan w:val="3"/>
          </w:tcPr>
          <w:p w:rsidR="00EA7BB2" w:rsidRPr="00805A0D" w:rsidRDefault="00CD3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Pr="00CD3719" w:rsidRDefault="00AD3AFB">
            <w:pPr>
              <w:rPr>
                <w:b/>
                <w:sz w:val="28"/>
                <w:szCs w:val="28"/>
              </w:rPr>
            </w:pPr>
            <w:r w:rsidRPr="00CD371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CD3719">
            <w:r>
              <w:t>Salg av svele etc.</w:t>
            </w:r>
          </w:p>
        </w:tc>
        <w:tc>
          <w:tcPr>
            <w:tcW w:w="709" w:type="dxa"/>
            <w:gridSpan w:val="2"/>
          </w:tcPr>
          <w:p w:rsidR="00715E04" w:rsidRDefault="00CD3719">
            <w:r w:rsidRPr="00CD371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AD5725" w:rsidP="00AD5725">
            <w:r>
              <w:t>Profilering av rotary – samarbeidsprosjekt mellom flere rotaryklubber i Bærum</w:t>
            </w:r>
          </w:p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AD5725" w:rsidP="00AD5725">
            <w:pPr>
              <w:jc w:val="left"/>
            </w:pPr>
            <w:r>
              <w:t xml:space="preserve">Flere rotaryklubber i </w:t>
            </w:r>
            <w:proofErr w:type="gramStart"/>
            <w:r>
              <w:t>Bærum  har</w:t>
            </w:r>
            <w:proofErr w:type="gramEnd"/>
            <w:r>
              <w:t xml:space="preserve"> gått  sammen om å bemanne en bod i julegaten i Sandvika. Gjennomsalg av sveler, solbærtoddy og div mandler har klubbene fått inntekter som har gått til ”End Polio </w:t>
            </w:r>
            <w:proofErr w:type="spellStart"/>
            <w:r>
              <w:t>Now</w:t>
            </w:r>
            <w:proofErr w:type="spellEnd"/>
            <w:r>
              <w:t xml:space="preserve">”. Samtidig har vi profilert rotary gjennom informasjonsplakater, utdeling av et </w:t>
            </w:r>
            <w:proofErr w:type="spellStart"/>
            <w:r>
              <w:t>infomasjonark</w:t>
            </w:r>
            <w:proofErr w:type="spellEnd"/>
            <w:r>
              <w:t xml:space="preserve"> samt gjennom samtaler med </w:t>
            </w:r>
            <w:r>
              <w:lastRenderedPageBreak/>
              <w:t>interesserte forbispaserende.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AD5725" w:rsidP="00AD5725">
            <w:pPr>
              <w:jc w:val="left"/>
            </w:pPr>
            <w:r>
              <w:t xml:space="preserve">Samarbeidet mellom de klubbene som har vært med på dette prosjektet har vært godt og ved at medlemmer fra flere klubber har blitt satt opp på samme vakt, har rotarianere i Bærum blitt bedre kjent med hverandre.  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9E43E1" w:rsidP="00481A5A">
            <w:pPr>
              <w:jc w:val="left"/>
            </w:pPr>
            <w:r>
              <w:t xml:space="preserve">Samarbeidet mellom de klubbene som har vært med på dette prosjektet har vært godt og ved at medlemmer fra flere klubber har blitt satt opp på samme vakt, har rotarianere i Bærum blitt bedre kjent med hverandre.  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481A5A" w:rsidP="00481A5A">
            <w:pPr>
              <w:jc w:val="left"/>
            </w:pPr>
            <w:r>
              <w:t xml:space="preserve">Det har medgått ca 30 timer til forberedelser og avslutningsarbeid, samt 95 timers vakttjenester 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481A5A" w:rsidP="00481A5A">
            <w:pPr>
              <w:jc w:val="left"/>
            </w:pPr>
            <w:r>
              <w:t>Dette prosjektet må kunne betegnes som et suksessprosjekt. Det kan også påvises at noen klubber har fått nye medlemskandidater p g a denne tilstedeværelsen og den informasjonen som er delt ut. Det totale overskuddet i 2012 beløp seg til kr 16.878.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>ens hjemmeside, og evt Facebook-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481A5A" w:rsidP="00586949">
            <w:pPr>
              <w:jc w:val="left"/>
            </w:pPr>
            <w:r>
              <w:t xml:space="preserve">Prosjektet ble beskrevet på vår </w:t>
            </w:r>
            <w:proofErr w:type="spellStart"/>
            <w:r>
              <w:t>Facebookside</w:t>
            </w:r>
            <w:proofErr w:type="spellEnd"/>
            <w:r>
              <w:t xml:space="preserve"> og i vår 50 års jubileumsbok.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CD3719" w:rsidRPr="00BD1FD3" w:rsidRDefault="00CD3719" w:rsidP="00CD3719">
            <w:pPr>
              <w:jc w:val="left"/>
              <w:rPr>
                <w:lang w:val="nn-NO"/>
              </w:rPr>
            </w:pPr>
            <w:r w:rsidRPr="00BD1FD3">
              <w:rPr>
                <w:lang w:val="nn-NO"/>
              </w:rPr>
              <w:t>Bjørn R. Berntsen</w:t>
            </w:r>
          </w:p>
          <w:p w:rsidR="00715E04" w:rsidRPr="00CD3719" w:rsidRDefault="00CD3719" w:rsidP="00CD3719">
            <w:pPr>
              <w:jc w:val="left"/>
              <w:rPr>
                <w:lang w:val="nn-NO"/>
              </w:rPr>
            </w:pPr>
            <w:r w:rsidRPr="00BD1FD3">
              <w:rPr>
                <w:lang w:val="nn-NO"/>
              </w:rPr>
              <w:t>bjorn.r.berntsen@recgroup.com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CD3719" w:rsidP="00586949">
            <w:pPr>
              <w:jc w:val="left"/>
            </w:pPr>
            <w:r w:rsidRPr="00BD1FD3">
              <w:t>97735514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A2" w:rsidRDefault="003E09A2" w:rsidP="0082671B">
      <w:r>
        <w:separator/>
      </w:r>
    </w:p>
  </w:endnote>
  <w:endnote w:type="continuationSeparator" w:id="0">
    <w:p w:rsidR="003E09A2" w:rsidRDefault="003E09A2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A2" w:rsidRDefault="003E09A2" w:rsidP="0082671B">
      <w:r>
        <w:separator/>
      </w:r>
    </w:p>
  </w:footnote>
  <w:footnote w:type="continuationSeparator" w:id="0">
    <w:p w:rsidR="003E09A2" w:rsidRDefault="003E09A2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41A4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123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0F95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02F42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9A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1A5A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2643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12AA1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2896"/>
    <w:rsid w:val="00754105"/>
    <w:rsid w:val="007612E8"/>
    <w:rsid w:val="007624D1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1C0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43E1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112"/>
    <w:rsid w:val="00A30280"/>
    <w:rsid w:val="00A3413F"/>
    <w:rsid w:val="00A3632E"/>
    <w:rsid w:val="00A53383"/>
    <w:rsid w:val="00A565AE"/>
    <w:rsid w:val="00A56A37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3AFB"/>
    <w:rsid w:val="00AD4884"/>
    <w:rsid w:val="00AD5725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07D2"/>
    <w:rsid w:val="00C614A2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A5F1F"/>
    <w:rsid w:val="00CC22E3"/>
    <w:rsid w:val="00CC3182"/>
    <w:rsid w:val="00CC4A2D"/>
    <w:rsid w:val="00CD0305"/>
    <w:rsid w:val="00CD0ED9"/>
    <w:rsid w:val="00CD1794"/>
    <w:rsid w:val="00CD23B4"/>
    <w:rsid w:val="00CD246E"/>
    <w:rsid w:val="00CD3719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15A5D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40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57F9A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77E4E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C81071-1AE4-4615-9245-58244F2A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2013-06-12T09:51:00Z</dcterms:created>
  <dcterms:modified xsi:type="dcterms:W3CDTF">2013-06-12T09:51:00Z</dcterms:modified>
</cp:coreProperties>
</file>