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F953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i/>
          <w:iCs/>
          <w:color w:val="0000FF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Terry's Polio Eradication Update</w:t>
      </w:r>
      <w:r w:rsidRPr="00213B4B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</w:t>
      </w:r>
      <w:r w:rsidRPr="00213B4B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425FAB36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For The We</w:t>
      </w:r>
      <w:r w:rsidRPr="00213B4B">
        <w:rPr>
          <w:rFonts w:ascii="inherit" w:eastAsia="Times New Roman" w:hAnsi="inherit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ek ending 2/21/26</w:t>
      </w:r>
    </w:p>
    <w:p w14:paraId="6B380A16" w14:textId="77777777" w:rsidR="00213B4B" w:rsidRPr="00213B4B" w:rsidRDefault="00213B4B" w:rsidP="00213B4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5FE7D52B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Dear Polio Eradication Warriors,</w:t>
      </w:r>
    </w:p>
    <w:p w14:paraId="5BE9B11B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F3C3486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FF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No</w:t>
      </w:r>
      <w:r w:rsidRPr="00213B4B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 new Wild Polio paralysis cases reported this week.  We are now 9 weeks since the most recent report of a child being paralyzed by the Wild Polio Virus in Pakistan.</w:t>
      </w:r>
    </w:p>
    <w:p w14:paraId="33B7B8BF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2A37367A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Progress continues to be made in the African region in reducing the number of variant polioviruses across the continent.  In 2025, there were 40% fewer cases reported than in 2024 with 90% of all cases occurring in four countries-Angola, Chad, Ethiopia, and Nigeria. </w:t>
      </w:r>
      <w:r w:rsidRPr="00213B4B">
        <w:rPr>
          <w:rFonts w:ascii="Arial" w:eastAsia="Times New Roman" w:hAnsi="Arial" w:cs="Arial"/>
          <w:color w:val="7F7F7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Clare Monroe, Senior PolioPlus Engagement Specialist</w:t>
      </w:r>
    </w:p>
    <w:p w14:paraId="2331BDEA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64F7A72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b/>
          <w:bCs/>
          <w:color w:val="000000"/>
          <w:kern w:val="0"/>
          <w:bdr w:val="none" w:sz="0" w:space="0" w:color="auto" w:frame="1"/>
          <w:lang w:val="en-GB" w:eastAsia="nb-NO"/>
          <w14:ligatures w14:val="none"/>
        </w:rPr>
        <w:t>Pakistan - Health workers reach more than 45 million children</w:t>
      </w:r>
    </w:p>
    <w:p w14:paraId="72194958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000000"/>
          <w:kern w:val="0"/>
          <w:sz w:val="27"/>
          <w:szCs w:val="27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val="en-GB" w:eastAsia="nb-NO"/>
          <w14:ligatures w14:val="none"/>
        </w:rPr>
        <w:t>Health workers across Pakistan embarked on the country’s first nationwide immunization campaign to reach more than </w:t>
      </w:r>
      <w:hyperlink r:id="rId5" w:tooltip="Beskyttet av Outlook: https://www.emro.who.int/pak/pakistan-news/mobilizing-400-000-who-trained-polio-workers-to-vaccinate-45-million-children-in-pakistan.html. Klikk eller trykk for å følge koblingen." w:history="1">
        <w:r w:rsidRPr="00213B4B">
          <w:rPr>
            <w:rFonts w:ascii="Arial" w:eastAsia="Times New Roman" w:hAnsi="Arial" w:cs="Arial"/>
            <w:color w:val="0563C1"/>
            <w:kern w:val="0"/>
            <w:u w:val="single"/>
            <w:bdr w:val="none" w:sz="0" w:space="0" w:color="auto" w:frame="1"/>
            <w:lang w:val="en-GB" w:eastAsia="nb-NO"/>
            <w14:ligatures w14:val="none"/>
          </w:rPr>
          <w:t>45 million children</w:t>
        </w:r>
      </w:hyperlink>
      <w:r w:rsidRPr="00213B4B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val="en-GB" w:eastAsia="nb-NO"/>
          <w14:ligatures w14:val="none"/>
        </w:rPr>
        <w:t> with polio vaccine.  All sectors of civil and public society are regularly mobilized, including through </w:t>
      </w:r>
      <w:hyperlink r:id="rId6" w:tooltip="Beskyttet av Outlook: https://www.emro.who.int/pak/pakistan-news/rotary-funds-who-to-support-pakistan-in-protecting-27-million-children-against-polio-in-high-risk-districts.html. Klikk eller trykk for å følge koblingen." w:history="1">
        <w:r w:rsidRPr="00213B4B">
          <w:rPr>
            <w:rFonts w:ascii="Arial" w:eastAsia="Times New Roman" w:hAnsi="Arial" w:cs="Arial"/>
            <w:color w:val="0563C1"/>
            <w:kern w:val="0"/>
            <w:u w:val="single"/>
            <w:bdr w:val="none" w:sz="0" w:space="0" w:color="auto" w:frame="1"/>
            <w:lang w:val="en-GB" w:eastAsia="nb-NO"/>
            <w14:ligatures w14:val="none"/>
          </w:rPr>
          <w:t>Rotary International</w:t>
        </w:r>
      </w:hyperlink>
      <w:r w:rsidRPr="00213B4B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val="en-GB" w:eastAsia="nb-NO"/>
          <w14:ligatures w14:val="none"/>
        </w:rPr>
        <w:t>, to make such campaigns a success.  </w:t>
      </w:r>
    </w:p>
    <w:p w14:paraId="4F1F9E51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B097241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Let's Advocate, Donate &amp; Educate to</w:t>
      </w:r>
      <w:r w:rsidRPr="00213B4B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</w:p>
    <w:p w14:paraId="7793F47A" w14:textId="2191B61C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 </w:t>
      </w:r>
      <w:r w:rsidRPr="00213B4B">
        <w:rPr>
          <w:rFonts w:ascii="inherit" w:eastAsia="Times New Roman" w:hAnsi="inherit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tbl>
      <w:tblPr>
        <w:tblpPr w:leftFromText="180" w:rightFromText="180" w:vertAnchor="text"/>
        <w:tblW w:w="78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1309"/>
        <w:gridCol w:w="861"/>
        <w:gridCol w:w="1101"/>
        <w:gridCol w:w="1016"/>
        <w:gridCol w:w="831"/>
      </w:tblGrid>
      <w:tr w:rsidR="00213B4B" w:rsidRPr="00213B4B" w14:paraId="224D7705" w14:textId="77777777" w:rsidTr="00213B4B">
        <w:trPr>
          <w:trHeight w:val="899"/>
        </w:trPr>
        <w:tc>
          <w:tcPr>
            <w:tcW w:w="2490" w:type="dxa"/>
            <w:tcBorders>
              <w:top w:val="outset" w:sz="8" w:space="0" w:color="DEDEDE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216F704" w14:textId="77777777" w:rsidR="00213B4B" w:rsidRPr="00213B4B" w:rsidRDefault="00213B4B" w:rsidP="00213B4B">
            <w:p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Total Wild Polio </w:t>
            </w:r>
            <w:proofErr w:type="gramStart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cases</w:t>
            </w:r>
            <w:proofErr w:type="gramEnd"/>
          </w:p>
        </w:tc>
        <w:tc>
          <w:tcPr>
            <w:tcW w:w="1197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60F1052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Year</w:t>
            </w:r>
            <w:proofErr w:type="spellEnd"/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-to-date 2026</w:t>
            </w:r>
          </w:p>
        </w:tc>
        <w:tc>
          <w:tcPr>
            <w:tcW w:w="463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DCE780" w14:textId="3D6CF0BC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Total</w:t>
            </w:r>
          </w:p>
          <w:p w14:paraId="18A9E242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2025</w:t>
            </w:r>
          </w:p>
        </w:tc>
        <w:tc>
          <w:tcPr>
            <w:tcW w:w="100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859BFC3" w14:textId="3602542E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</w:t>
            </w: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al</w:t>
            </w:r>
          </w:p>
          <w:p w14:paraId="361E881D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2024</w:t>
            </w:r>
          </w:p>
        </w:tc>
        <w:tc>
          <w:tcPr>
            <w:tcW w:w="920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C2997" w14:textId="6E040D50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Total</w:t>
            </w:r>
          </w:p>
          <w:p w14:paraId="027489E2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2023</w:t>
            </w:r>
          </w:p>
        </w:tc>
        <w:tc>
          <w:tcPr>
            <w:tcW w:w="755" w:type="dxa"/>
            <w:tcBorders>
              <w:top w:val="outset" w:sz="8" w:space="0" w:color="DEDEDE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4BDA58AD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Total</w:t>
            </w:r>
          </w:p>
          <w:p w14:paraId="1288B9D2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2022</w:t>
            </w:r>
          </w:p>
        </w:tc>
      </w:tr>
      <w:tr w:rsidR="00213B4B" w:rsidRPr="00213B4B" w14:paraId="665537CB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BCA78" w14:textId="77777777" w:rsidR="00213B4B" w:rsidRPr="00213B4B" w:rsidRDefault="00213B4B" w:rsidP="00213B4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proofErr w:type="spellStart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Globally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3144A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E4BA7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9074E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2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A19AB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55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7A943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30</w:t>
            </w:r>
          </w:p>
        </w:tc>
      </w:tr>
      <w:tr w:rsidR="00213B4B" w:rsidRPr="00213B4B" w14:paraId="05F0818B" w14:textId="77777777">
        <w:tc>
          <w:tcPr>
            <w:tcW w:w="2490" w:type="dxa"/>
            <w:tcBorders>
              <w:top w:val="nil"/>
              <w:left w:val="outset" w:sz="8" w:space="0" w:color="DEDEDE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A5962" w14:textId="77777777" w:rsidR="00213B4B" w:rsidRPr="00213B4B" w:rsidRDefault="00213B4B" w:rsidP="00213B4B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- in </w:t>
            </w:r>
            <w:proofErr w:type="spellStart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endemic</w:t>
            </w:r>
            <w:proofErr w:type="spellEnd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 xml:space="preserve"> </w:t>
            </w:r>
            <w:proofErr w:type="spellStart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countries</w:t>
            </w:r>
            <w:proofErr w:type="spellEnd"/>
            <w:r w:rsidRPr="00213B4B">
              <w:rPr>
                <w:rFonts w:ascii="inherit" w:eastAsia="Times New Roman" w:hAnsi="inherit" w:cs="Arial"/>
                <w:b/>
                <w:bCs/>
                <w:kern w:val="0"/>
                <w:sz w:val="20"/>
                <w:szCs w:val="20"/>
                <w:bdr w:val="none" w:sz="0" w:space="0" w:color="auto" w:frame="1"/>
                <w:lang w:eastAsia="nb-NO"/>
                <w14:ligatures w14:val="none"/>
              </w:rPr>
              <w:t>:</w:t>
            </w:r>
          </w:p>
        </w:tc>
        <w:tc>
          <w:tcPr>
            <w:tcW w:w="1201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4015C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4EA87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44</w:t>
            </w:r>
          </w:p>
        </w:tc>
        <w:tc>
          <w:tcPr>
            <w:tcW w:w="1010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64185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99</w:t>
            </w:r>
          </w:p>
        </w:tc>
        <w:tc>
          <w:tcPr>
            <w:tcW w:w="932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C442F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12</w:t>
            </w:r>
          </w:p>
        </w:tc>
        <w:tc>
          <w:tcPr>
            <w:tcW w:w="763" w:type="dxa"/>
            <w:tcBorders>
              <w:top w:val="nil"/>
              <w:left w:val="nil"/>
              <w:bottom w:val="outset" w:sz="8" w:space="0" w:color="DEDEDE"/>
              <w:right w:val="outset" w:sz="8" w:space="0" w:color="DEDED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0BA1C" w14:textId="77777777" w:rsidR="00213B4B" w:rsidRPr="00213B4B" w:rsidRDefault="00213B4B" w:rsidP="00213B4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213B4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22</w:t>
            </w:r>
          </w:p>
        </w:tc>
      </w:tr>
    </w:tbl>
    <w:p w14:paraId="76A65BE7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br/>
      </w:r>
    </w:p>
    <w:p w14:paraId="6720A5C6" w14:textId="77777777" w:rsidR="00213B4B" w:rsidRPr="00213B4B" w:rsidRDefault="00213B4B" w:rsidP="00213B4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6A849CAE" w14:textId="77777777" w:rsidR="00213B4B" w:rsidRPr="00213B4B" w:rsidRDefault="00213B4B" w:rsidP="00213B4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  <w:t> </w:t>
      </w:r>
    </w:p>
    <w:p w14:paraId="7C7BB3CC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nb-NO"/>
          <w14:ligatures w14:val="none"/>
        </w:rPr>
      </w:pPr>
      <w:r w:rsidRPr="00213B4B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eastAsia="nb-NO"/>
          <w14:ligatures w14:val="none"/>
        </w:rPr>
        <w:t> </w:t>
      </w:r>
    </w:p>
    <w:p w14:paraId="3E0F3394" w14:textId="7D2718C4" w:rsidR="00213B4B" w:rsidRPr="00213B4B" w:rsidRDefault="00213B4B" w:rsidP="00213B4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   </w:t>
      </w:r>
      <w:r w:rsidRPr="00213B4B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2026 Total Polio Cases (0 Wild + 1 Variant) = 1</w:t>
      </w:r>
      <w:r w:rsidRPr="00213B4B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  <w:t>2025 Total Polio Cases (44 Wild + 225 Variant) = 269</w:t>
      </w:r>
    </w:p>
    <w:p w14:paraId="2B4C6D29" w14:textId="5FEE232B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Total Polio Cases (99 Wild + 466 Variant) = 565</w:t>
      </w:r>
    </w:p>
    <w:p w14:paraId="2E048BF9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 xml:space="preserve">2023 Total Polio </w:t>
      </w:r>
      <w:proofErr w:type="gramStart"/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Cases  (</w:t>
      </w:r>
      <w:proofErr w:type="gramEnd"/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12 Wild + 524 Variant) = 536</w:t>
      </w:r>
    </w:p>
    <w:p w14:paraId="7F7A8D45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2022 Total Polio Cases (30 Wild + 914 Variant) = 944 </w:t>
      </w:r>
    </w:p>
    <w:p w14:paraId="2CF5E270" w14:textId="0E340817" w:rsidR="00213B4B" w:rsidRPr="00213B4B" w:rsidRDefault="00213B4B" w:rsidP="00213B4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  <w:r w:rsidRPr="00213B4B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2026 Circulating Variant Polio Case Total - 1   Somalia 1</w:t>
      </w:r>
    </w:p>
    <w:p w14:paraId="6FFCBE3F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2025</w:t>
      </w:r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 Circulating Variant Polio Case Total - </w:t>
      </w:r>
      <w:r w:rsidRPr="00213B4B">
        <w:rPr>
          <w:rFonts w:ascii="inherit" w:eastAsia="Times New Roman" w:hAnsi="inherit" w:cs="Arial"/>
          <w:b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225</w:t>
      </w:r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    Algeria 1, Angola 19, Benin 3, Burkina Faso 1, Cameroon 1, Central African Republic 2, Chad </w:t>
      </w:r>
      <w:proofErr w:type="gramStart"/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33,  Djibouti</w:t>
      </w:r>
      <w:proofErr w:type="gramEnd"/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 xml:space="preserve"> 1, Democratic Republic of Congo 6, </w:t>
      </w:r>
      <w:proofErr w:type="gramStart"/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Ethiopia  41</w:t>
      </w:r>
      <w:proofErr w:type="gramEnd"/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shd w:val="clear" w:color="auto" w:fill="00FF00"/>
          <w:lang w:val="en-GB" w:eastAsia="nb-NO"/>
          <w14:ligatures w14:val="none"/>
        </w:rPr>
        <w:t>, Guinea 2, Lao PDR 1, Mali 1, Niger 3, Nigeria 67, Papua New Guinea - 5, Somalia 2, Sudan 7, Yemen 30</w:t>
      </w:r>
      <w:r w:rsidRPr="00213B4B">
        <w:rPr>
          <w:rFonts w:ascii="inherit" w:eastAsia="Times New Roman" w:hAnsi="inherit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br/>
      </w:r>
    </w:p>
    <w:p w14:paraId="4E1B75BD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2024 Circulating Variant Polio Case Total - 466  Algeria - 1, Angola - 9, Benin - 2, Cameroon - 3, Chad - 39, Cote d'Ivoire - 1, DR Congo - 25, Ethiopia - 44, Guinea - 9, Indonesia - 8, Liberia - 1,Mali - 1, Mozambique - 1, Niger - 17, Nigeria - 101, Occupied Palestinian Territory - 1, Senegal - 1, Somalia - 7, South Sudan - 11, Yemen - 167</w:t>
      </w:r>
    </w:p>
    <w:p w14:paraId="0E80C16F" w14:textId="77777777" w:rsidR="00213B4B" w:rsidRPr="00213B4B" w:rsidRDefault="00213B4B" w:rsidP="00213B4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7C8976C5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lastRenderedPageBreak/>
        <w:t>2026 Wild Polio Case Total - 0</w:t>
      </w:r>
    </w:p>
    <w:p w14:paraId="409E4D4A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2025 Wild Polio Case </w:t>
      </w:r>
      <w:proofErr w:type="gramStart"/>
      <w:r w:rsidRPr="00213B4B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Total  44</w:t>
      </w:r>
      <w:proofErr w:type="gramEnd"/>
      <w:r w:rsidRPr="00213B4B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 - </w:t>
      </w:r>
      <w:r w:rsidRPr="00213B4B">
        <w:rPr>
          <w:rFonts w:ascii="inherit" w:eastAsia="Times New Roman" w:hAnsi="inherit" w:cs="Arial"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Afghanistan 13 - Pakistan 31</w:t>
      </w:r>
    </w:p>
    <w:p w14:paraId="1407F51D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10531C39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2024 Wild Polio Cases Total 99 -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25 - Pakistan 74</w:t>
      </w:r>
    </w:p>
    <w:p w14:paraId="5F6E8382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Wild Polio Cases Total 12 -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Afghanistan 6, Pakistan 6</w:t>
      </w:r>
    </w:p>
    <w:p w14:paraId="2DB7F309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2023 Circulating Variant Polio Cases 524 in 23 Countries</w:t>
      </w:r>
    </w:p>
    <w:p w14:paraId="04F36DD3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09C8EB0F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New Polio Cases &amp; Samples reported this week -</w:t>
      </w:r>
      <w:r w:rsidRPr="00213B4B">
        <w:rPr>
          <w:rFonts w:ascii="inherit" w:eastAsia="Times New Roman" w:hAnsi="inherit" w:cs="Arial"/>
          <w:b/>
          <w:bCs/>
          <w:color w:val="242424"/>
          <w:kern w:val="0"/>
          <w:bdr w:val="none" w:sz="0" w:space="0" w:color="auto" w:frame="1"/>
          <w:lang w:val="en-GB" w:eastAsia="nb-NO"/>
          <w14:ligatures w14:val="none"/>
        </w:rPr>
        <w:t> </w:t>
      </w:r>
    </w:p>
    <w:p w14:paraId="7BEE42C9" w14:textId="77777777" w:rsidR="00213B4B" w:rsidRPr="00213B4B" w:rsidRDefault="00213B4B" w:rsidP="00213B4B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Pakistan:  three WPV1-positive environmental samples</w:t>
      </w:r>
    </w:p>
    <w:p w14:paraId="7E851CE4" w14:textId="77777777" w:rsidR="00213B4B" w:rsidRPr="00213B4B" w:rsidRDefault="00213B4B" w:rsidP="00213B4B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Algeria:  two cVDPV2-positive environmental samples</w:t>
      </w:r>
    </w:p>
    <w:p w14:paraId="53B24B0B" w14:textId="77777777" w:rsidR="00213B4B" w:rsidRPr="00213B4B" w:rsidRDefault="00213B4B" w:rsidP="00213B4B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Namibia:  two cVDVP2-positive environmental samples</w:t>
      </w:r>
    </w:p>
    <w:p w14:paraId="79F5B458" w14:textId="77777777" w:rsidR="00213B4B" w:rsidRPr="00213B4B" w:rsidRDefault="00213B4B" w:rsidP="00213B4B">
      <w:pPr>
        <w:numPr>
          <w:ilvl w:val="0"/>
          <w:numId w:val="2"/>
        </w:numPr>
        <w:shd w:val="clear" w:color="auto" w:fill="FFFFFF"/>
        <w:spacing w:after="0" w:line="240" w:lineRule="auto"/>
        <w:ind w:left="1800"/>
        <w:jc w:val="center"/>
        <w:textAlignment w:val="baseline"/>
        <w:rPr>
          <w:rFonts w:ascii="Aptos" w:eastAsia="Times New Roman" w:hAnsi="Aptos" w:cs="Times New Roman"/>
          <w:color w:val="242424"/>
          <w:kern w:val="0"/>
          <w:sz w:val="24"/>
          <w:szCs w:val="24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242424"/>
          <w:kern w:val="0"/>
          <w:bdr w:val="none" w:sz="0" w:space="0" w:color="auto" w:frame="1"/>
          <w:lang w:val="en-GB" w:eastAsia="nb-NO"/>
          <w14:ligatures w14:val="none"/>
        </w:rPr>
        <w:t>Nigeria:  one cVDPV2-positive environmental sample</w:t>
      </w:r>
    </w:p>
    <w:p w14:paraId="62147B85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6D3785B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 xml:space="preserve">Quote of the Day </w:t>
      </w:r>
      <w:proofErr w:type="gramStart"/>
      <w:r w:rsidRPr="00213B4B">
        <w:rPr>
          <w:rFonts w:ascii="inherit" w:eastAsia="Times New Roman" w:hAnsi="inherit" w:cs="Arial"/>
          <w:b/>
          <w:bCs/>
          <w:color w:val="0000FF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-</w:t>
      </w:r>
      <w:r w:rsidRPr="00213B4B">
        <w:rPr>
          <w:rFonts w:ascii="Arial" w:eastAsia="Times New Roman" w:hAnsi="Arial" w:cs="Arial"/>
          <w:color w:val="0000FF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213B4B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"</w:t>
      </w:r>
      <w:proofErr w:type="gramEnd"/>
      <w:r w:rsidRPr="00213B4B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Every day is a renewal, every morning the daily miracle</w:t>
      </w:r>
      <w:r w:rsidRPr="00213B4B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."</w:t>
      </w:r>
      <w:r w:rsidRPr="00213B4B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br/>
      </w:r>
    </w:p>
    <w:p w14:paraId="39BD0922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i/>
          <w:iCs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Gertrude Stein (1874 - 1946)</w:t>
      </w:r>
      <w:r w:rsidRPr="00213B4B">
        <w:rPr>
          <w:rFonts w:ascii="Arial" w:eastAsia="Times New Roman" w:hAnsi="Arial" w:cs="Arial"/>
          <w:color w:val="191919"/>
          <w:kern w:val="0"/>
          <w:sz w:val="23"/>
          <w:szCs w:val="23"/>
          <w:bdr w:val="none" w:sz="0" w:space="0" w:color="auto" w:frame="1"/>
          <w:lang w:val="en-GB" w:eastAsia="nb-NO"/>
          <w14:ligatures w14:val="none"/>
        </w:rPr>
        <w:t> </w:t>
      </w:r>
    </w:p>
    <w:p w14:paraId="3822D2A0" w14:textId="0ED3A65E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E3E3E"/>
          <w:kern w:val="0"/>
          <w:sz w:val="21"/>
          <w:szCs w:val="21"/>
          <w:lang w:val="en-GB" w:eastAsia="nb-NO"/>
          <w14:ligatures w14:val="none"/>
        </w:rPr>
      </w:pPr>
    </w:p>
    <w:p w14:paraId="2AF72442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b/>
          <w:bCs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The Final Two Polio Endemic Countries</w:t>
      </w:r>
    </w:p>
    <w:p w14:paraId="6636D389" w14:textId="77777777" w:rsidR="00213B4B" w:rsidRPr="00213B4B" w:rsidRDefault="00213B4B" w:rsidP="00213B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05E2D9F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color w:val="FF0000"/>
          <w:kern w:val="0"/>
          <w:sz w:val="36"/>
          <w:szCs w:val="36"/>
          <w:bdr w:val="none" w:sz="0" w:space="0" w:color="auto" w:frame="1"/>
          <w:lang w:val="en-GB" w:eastAsia="nb-NO"/>
          <w14:ligatures w14:val="none"/>
        </w:rPr>
        <w:t>Pakistan </w:t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No new Wild Polio cases reported this week.</w:t>
      </w:r>
      <w:r w:rsidRPr="00213B4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No Wild Polio cases reported in 2026. Thirty-one Wild Polio cases reported in 2025.  </w:t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Seventy-four Wild Polio cases reported in 2024.Six Wild Polio Cases reported in 2023.  </w:t>
      </w:r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12/14/25. </w:t>
      </w:r>
      <w:r w:rsidRPr="00213B4B">
        <w:rPr>
          <w:rFonts w:ascii="inherit" w:eastAsia="Times New Roman" w:hAnsi="inherit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Three new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WPV1 Environmental Samples and no</w:t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cVDPV2 Positive Environmental Samples were reported this week in Pakistan.</w:t>
      </w:r>
    </w:p>
    <w:p w14:paraId="18091A76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048D159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inherit" w:eastAsia="Times New Roman" w:hAnsi="inherit" w:cs="Arial"/>
          <w:color w:val="FF0000"/>
          <w:kern w:val="0"/>
          <w:sz w:val="48"/>
          <w:szCs w:val="48"/>
          <w:bdr w:val="none" w:sz="0" w:space="0" w:color="auto" w:frame="1"/>
          <w:lang w:val="en-GB" w:eastAsia="nb-NO"/>
          <w14:ligatures w14:val="none"/>
        </w:rPr>
        <w:t>Afghanistan </w:t>
      </w:r>
      <w:r w:rsidRPr="00213B4B">
        <w:rPr>
          <w:rFonts w:ascii="inherit" w:eastAsia="Times New Roman" w:hAnsi="inherit" w:cs="Arial"/>
          <w:b/>
          <w:bCs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</w:t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val="en-GB" w:eastAsia="nb-NO"/>
          <w14:ligatures w14:val="none"/>
        </w:rPr>
        <w:t> new Wild Polio cases reported this week.  </w:t>
      </w:r>
      <w:r w:rsidRPr="00213B4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 Wild Polio cases reported in 2026.  Thirteen Wild Polio cases reported in 2025. </w:t>
      </w:r>
      <w:r w:rsidRPr="00213B4B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Twenty-five Wild Polio cases reported in 2024. Six Wild Polio Cases reported in 2023.</w:t>
      </w:r>
      <w:r w:rsidRPr="00213B4B">
        <w:rPr>
          <w:rFonts w:ascii="inherit" w:eastAsia="Times New Roman" w:hAnsi="inherit" w:cs="Arial"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 </w:t>
      </w:r>
      <w:r w:rsidRPr="00213B4B">
        <w:rPr>
          <w:rFonts w:ascii="inherit" w:eastAsia="Times New Roman" w:hAnsi="inherit" w:cs="Arial"/>
          <w:color w:val="000000"/>
          <w:kern w:val="0"/>
          <w:sz w:val="24"/>
          <w:szCs w:val="24"/>
          <w:bdr w:val="none" w:sz="0" w:space="0" w:color="auto" w:frame="1"/>
          <w:lang w:val="en-GB" w:eastAsia="nb-NO"/>
          <w14:ligatures w14:val="none"/>
        </w:rPr>
        <w:t>The most recent case had an onset of paralysis on 10/24/25.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No WPV1 Environmental Samples and no cVDPV2 Positive Environmental Samples were reported this week in Afghanistan.</w:t>
      </w:r>
    </w:p>
    <w:p w14:paraId="74940AD0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E6FB257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Advocate, Donate &amp; Educate to</w:t>
      </w:r>
      <w:r w:rsidRPr="00213B4B">
        <w:rPr>
          <w:rFonts w:ascii="Arial" w:eastAsia="Times New Roman" w:hAnsi="Arial" w:cs="Arial"/>
          <w:color w:val="FF0000"/>
          <w:kern w:val="0"/>
          <w:sz w:val="28"/>
          <w:szCs w:val="28"/>
          <w:bdr w:val="none" w:sz="0" w:space="0" w:color="auto" w:frame="1"/>
          <w:lang w:val="en-GB" w:eastAsia="nb-NO"/>
          <w14:ligatures w14:val="none"/>
        </w:rPr>
        <w:t> END POLIO NOW &amp; FOREVER!</w:t>
      </w:r>
      <w:r w:rsidRPr="00213B4B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</w:t>
      </w:r>
      <w:r w:rsidRPr="00213B4B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br/>
      </w:r>
    </w:p>
    <w:p w14:paraId="4E199948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471A4BBA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3 billion Children Immunized</w:t>
      </w:r>
    </w:p>
    <w:p w14:paraId="56D7FFFA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Over $3 billion raised by Rotary for Polio Eradication         21,000,000 Children Saved from the Paralysis of Polio</w:t>
      </w:r>
    </w:p>
    <w:p w14:paraId="3783F8C1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B0F0"/>
          <w:kern w:val="0"/>
          <w:sz w:val="32"/>
          <w:szCs w:val="32"/>
          <w:bdr w:val="none" w:sz="0" w:space="0" w:color="auto" w:frame="1"/>
          <w:lang w:val="en-GB" w:eastAsia="nb-NO"/>
          <w14:ligatures w14:val="none"/>
        </w:rPr>
        <w:t>                1.6 million Lives saved thanks to the Polio Vaccines                                </w:t>
      </w: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br/>
      </w:r>
      <w:r w:rsidRPr="00213B4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val="en-GB" w:eastAsia="nb-NO"/>
          <w14:ligatures w14:val="none"/>
        </w:rPr>
        <w:t>   Together, We End Polio!</w:t>
      </w:r>
    </w:p>
    <w:p w14:paraId="5CEAE345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3A1DC222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Terry Ziegler, Polio Update Newsletter Editor</w:t>
      </w:r>
    </w:p>
    <w:p w14:paraId="22AD53B1" w14:textId="77777777" w:rsidR="00213B4B" w:rsidRPr="00213B4B" w:rsidRDefault="00213B4B" w:rsidP="00213B4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  <w:t> </w:t>
      </w:r>
    </w:p>
    <w:p w14:paraId="6E706FC2" w14:textId="77777777" w:rsidR="00213B4B" w:rsidRPr="00213B4B" w:rsidRDefault="00213B4B" w:rsidP="00213B4B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val="en-GB" w:eastAsia="nb-NO"/>
          <w14:ligatures w14:val="none"/>
        </w:rPr>
      </w:pPr>
      <w:r w:rsidRPr="00213B4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Rotary Region 36 </w:t>
      </w:r>
      <w:r w:rsidRPr="00213B4B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  <w:bdr w:val="none" w:sz="0" w:space="0" w:color="auto" w:frame="1"/>
          <w:lang w:val="en-GB" w:eastAsia="nb-NO"/>
          <w14:ligatures w14:val="none"/>
        </w:rPr>
        <w:t>END POLIO NOW</w:t>
      </w:r>
      <w:r w:rsidRPr="00213B4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t> Coordinator 2024-27</w:t>
      </w:r>
      <w:r w:rsidRPr="00213B4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n-GB" w:eastAsia="nb-NO"/>
          <w14:ligatures w14:val="none"/>
        </w:rPr>
        <w:br/>
      </w:r>
    </w:p>
    <w:p w14:paraId="19E413F3" w14:textId="77777777" w:rsidR="004709C1" w:rsidRPr="00213B4B" w:rsidRDefault="004709C1">
      <w:pPr>
        <w:rPr>
          <w:lang w:val="en-GB"/>
        </w:rPr>
      </w:pPr>
    </w:p>
    <w:sectPr w:rsidR="004709C1" w:rsidRPr="00213B4B" w:rsidSect="00213B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01F"/>
    <w:multiLevelType w:val="multilevel"/>
    <w:tmpl w:val="B802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4B44C0"/>
    <w:multiLevelType w:val="multilevel"/>
    <w:tmpl w:val="5B4C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0723053">
    <w:abstractNumId w:val="1"/>
  </w:num>
  <w:num w:numId="2" w16cid:durableId="207037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4B"/>
    <w:rsid w:val="00213B4B"/>
    <w:rsid w:val="004709C1"/>
    <w:rsid w:val="00532A8E"/>
    <w:rsid w:val="00AE6310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9CFE"/>
  <w15:chartTrackingRefBased/>
  <w15:docId w15:val="{353373B5-763B-4795-83F7-FE7D28E3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3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3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13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13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13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13B4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13B4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13B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13B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13B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13B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1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1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13B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13B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3B4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3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3B4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13B4B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13B4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13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ea01.safelinks.protection.outlook.com/?url=https%3A%2F%2Fwww.emro.who.int%2Fpak%2Fpakistan-news%2Frotary-funds-who-to-support-pakistan-in-protecting-27-million-children-against-polio-in-high-risk-districts.html&amp;data=05%7C02%7C%7C0d3d9b8e13fd4d351e8908de731fb0a1%7C84df9e7fe9f640afb435aaaaaaaaaaaa%7C1%7C0%7C639074777110438174%7CUnknown%7CTWFpbGZsb3d8eyJFbXB0eU1hcGkiOnRydWUsIlYiOiIwLjAuMDAwMCIsIlAiOiJXaW4zMiIsIkFOIjoiTWFpbCIsIldUIjoyfQ%3D%3D%7C0%7C%7C%7C&amp;sdata=tVEzW%2Fi3nKOzwFeMevz0AH%2BZ4WqgL9gOrkcXroEYXog%3D&amp;reserved=0" TargetMode="External"/><Relationship Id="rId5" Type="http://schemas.openxmlformats.org/officeDocument/2006/relationships/hyperlink" Target="https://emea01.safelinks.protection.outlook.com/?url=https%3A%2F%2Fwww.emro.who.int%2Fpak%2Fpakistan-news%2Fmobilizing-400-000-who-trained-polio-workers-to-vaccinate-45-million-children-in-pakistan.html&amp;data=05%7C02%7C%7C0d3d9b8e13fd4d351e8908de731fb0a1%7C84df9e7fe9f640afb435aaaaaaaaaaaa%7C1%7C0%7C639074777110405980%7CUnknown%7CTWFpbGZsb3d8eyJFbXB0eU1hcGkiOnRydWUsIlYiOiIwLjAuMDAwMCIsIlAiOiJXaW4zMiIsIkFOIjoiTWFpbCIsIldUIjoyfQ%3D%3D%7C0%7C%7C%7C&amp;sdata=UxHfHx655YLmFg8cHwFMqa%2B5TgghE1a8nWu4UlSBJV0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1014</Words>
  <Characters>4597</Characters>
  <Application>Microsoft Office Word</Application>
  <DocSecurity>0</DocSecurity>
  <Lines>77</Lines>
  <Paragraphs>39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1</cp:revision>
  <dcterms:created xsi:type="dcterms:W3CDTF">2026-02-24T11:03:00Z</dcterms:created>
  <dcterms:modified xsi:type="dcterms:W3CDTF">2026-02-24T11:05:00Z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defe9afd-9f42-4331-814a-e9950d57f534</vt:lpwstr>
  </property>
</Properties>
</file>